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CD13" w14:textId="357274B4" w:rsidR="003C5391" w:rsidRDefault="003C5391" w:rsidP="003C5391">
      <w:pPr>
        <w:jc w:val="center"/>
        <w:rPr>
          <w:b/>
          <w:bCs/>
          <w:sz w:val="28"/>
          <w:szCs w:val="28"/>
        </w:rPr>
      </w:pPr>
      <w:r w:rsidRPr="003C539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292F20" wp14:editId="73FDBD5F">
            <wp:simplePos x="0" y="0"/>
            <wp:positionH relativeFrom="column">
              <wp:posOffset>-604837</wp:posOffset>
            </wp:positionH>
            <wp:positionV relativeFrom="paragraph">
              <wp:posOffset>318</wp:posOffset>
            </wp:positionV>
            <wp:extent cx="1701660" cy="56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127" cy="56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85C71" w14:textId="79F9E93C" w:rsidR="003C5391" w:rsidRPr="00B0449E" w:rsidRDefault="003C5391" w:rsidP="00B0449E">
      <w:pPr>
        <w:jc w:val="center"/>
        <w:rPr>
          <w:b/>
          <w:bCs/>
          <w:sz w:val="28"/>
          <w:szCs w:val="28"/>
        </w:rPr>
      </w:pPr>
      <w:r w:rsidRPr="003C5391">
        <w:rPr>
          <w:b/>
          <w:bCs/>
          <w:sz w:val="28"/>
          <w:szCs w:val="28"/>
        </w:rPr>
        <w:t>Training</w:t>
      </w:r>
      <w:r w:rsidR="00BA4342">
        <w:rPr>
          <w:b/>
          <w:bCs/>
          <w:sz w:val="28"/>
          <w:szCs w:val="28"/>
        </w:rPr>
        <w:t xml:space="preserve"> and TA</w:t>
      </w:r>
      <w:r w:rsidRPr="003C5391">
        <w:rPr>
          <w:b/>
          <w:bCs/>
          <w:sz w:val="28"/>
          <w:szCs w:val="28"/>
        </w:rPr>
        <w:t xml:space="preserve"> Plan</w:t>
      </w:r>
      <w:r w:rsidR="009C53F1">
        <w:rPr>
          <w:b/>
          <w:bCs/>
          <w:sz w:val="28"/>
          <w:szCs w:val="28"/>
        </w:rPr>
        <w:t xml:space="preserve"> DRAFT</w:t>
      </w:r>
    </w:p>
    <w:tbl>
      <w:tblPr>
        <w:tblStyle w:val="TableGrid"/>
        <w:tblW w:w="19434" w:type="dxa"/>
        <w:tblInd w:w="-1085" w:type="dxa"/>
        <w:tblLook w:val="04A0" w:firstRow="1" w:lastRow="0" w:firstColumn="1" w:lastColumn="0" w:noHBand="0" w:noVBand="1"/>
      </w:tblPr>
      <w:tblGrid>
        <w:gridCol w:w="2504"/>
        <w:gridCol w:w="4156"/>
        <w:gridCol w:w="1826"/>
        <w:gridCol w:w="1928"/>
        <w:gridCol w:w="1933"/>
        <w:gridCol w:w="1171"/>
        <w:gridCol w:w="2213"/>
        <w:gridCol w:w="1408"/>
        <w:gridCol w:w="2295"/>
      </w:tblGrid>
      <w:tr w:rsidR="00571FC2" w14:paraId="40711270" w14:textId="1541F5E1" w:rsidTr="00571FC2">
        <w:tc>
          <w:tcPr>
            <w:tcW w:w="2504" w:type="dxa"/>
            <w:shd w:val="clear" w:color="auto" w:fill="8EAADB" w:themeFill="accent1" w:themeFillTint="99"/>
          </w:tcPr>
          <w:p w14:paraId="081555B0" w14:textId="43F4C4F7" w:rsidR="00BC6FDC" w:rsidRPr="003C5391" w:rsidRDefault="00BC6FDC">
            <w:pPr>
              <w:rPr>
                <w:b/>
                <w:bCs/>
              </w:rPr>
            </w:pPr>
            <w:r w:rsidRPr="003C5391">
              <w:rPr>
                <w:b/>
                <w:bCs/>
              </w:rPr>
              <w:t>T</w:t>
            </w:r>
            <w:r>
              <w:rPr>
                <w:b/>
                <w:bCs/>
              </w:rPr>
              <w:t>opic</w:t>
            </w:r>
          </w:p>
        </w:tc>
        <w:tc>
          <w:tcPr>
            <w:tcW w:w="4156" w:type="dxa"/>
            <w:shd w:val="clear" w:color="auto" w:fill="8EAADB" w:themeFill="accent1" w:themeFillTint="99"/>
          </w:tcPr>
          <w:p w14:paraId="35850832" w14:textId="70CD25CD" w:rsidR="00BC6FDC" w:rsidRPr="003C5391" w:rsidRDefault="00BC6FDC">
            <w:pPr>
              <w:rPr>
                <w:b/>
                <w:bCs/>
              </w:rPr>
            </w:pPr>
            <w:r w:rsidRPr="003C5391">
              <w:rPr>
                <w:b/>
                <w:bCs/>
              </w:rPr>
              <w:t>Details</w:t>
            </w:r>
          </w:p>
        </w:tc>
        <w:tc>
          <w:tcPr>
            <w:tcW w:w="1826" w:type="dxa"/>
            <w:shd w:val="clear" w:color="auto" w:fill="8EAADB" w:themeFill="accent1" w:themeFillTint="99"/>
          </w:tcPr>
          <w:p w14:paraId="4B98360A" w14:textId="08004B4A" w:rsidR="00BC6FDC" w:rsidRPr="003C5391" w:rsidRDefault="00BC6FDC">
            <w:pPr>
              <w:rPr>
                <w:b/>
                <w:bCs/>
              </w:rPr>
            </w:pPr>
            <w:r w:rsidRPr="003C5391">
              <w:rPr>
                <w:b/>
                <w:bCs/>
              </w:rPr>
              <w:t>Audience</w:t>
            </w:r>
          </w:p>
        </w:tc>
        <w:tc>
          <w:tcPr>
            <w:tcW w:w="1928" w:type="dxa"/>
            <w:shd w:val="clear" w:color="auto" w:fill="8EAADB" w:themeFill="accent1" w:themeFillTint="99"/>
          </w:tcPr>
          <w:p w14:paraId="295DE93D" w14:textId="1CA603D8" w:rsidR="00BC6FDC" w:rsidRPr="003C5391" w:rsidRDefault="00BC6FDC">
            <w:pPr>
              <w:rPr>
                <w:b/>
                <w:bCs/>
              </w:rPr>
            </w:pPr>
            <w:r w:rsidRPr="003C5391">
              <w:rPr>
                <w:b/>
                <w:bCs/>
              </w:rPr>
              <w:t>Trainers/SMEs</w:t>
            </w:r>
          </w:p>
        </w:tc>
        <w:tc>
          <w:tcPr>
            <w:tcW w:w="1933" w:type="dxa"/>
            <w:shd w:val="clear" w:color="auto" w:fill="8EAADB" w:themeFill="accent1" w:themeFillTint="99"/>
          </w:tcPr>
          <w:p w14:paraId="12C98734" w14:textId="6BCEDB1F" w:rsidR="00BC6FDC" w:rsidRPr="003C5391" w:rsidRDefault="00BC6F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Suggested </w:t>
            </w:r>
            <w:r w:rsidRPr="003C5391">
              <w:rPr>
                <w:b/>
                <w:bCs/>
              </w:rPr>
              <w:t>Timeline</w:t>
            </w:r>
          </w:p>
        </w:tc>
        <w:tc>
          <w:tcPr>
            <w:tcW w:w="1171" w:type="dxa"/>
            <w:shd w:val="clear" w:color="auto" w:fill="8EAADB" w:themeFill="accent1" w:themeFillTint="99"/>
          </w:tcPr>
          <w:p w14:paraId="585498A7" w14:textId="4190A79F" w:rsidR="00BC6FDC" w:rsidRPr="003C5391" w:rsidRDefault="00BC6FDC">
            <w:pPr>
              <w:rPr>
                <w:b/>
                <w:bCs/>
              </w:rPr>
            </w:pPr>
            <w:r w:rsidRPr="003C5391">
              <w:rPr>
                <w:b/>
                <w:bCs/>
              </w:rPr>
              <w:t>Priority Level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2103C081" w14:textId="77777777" w:rsidR="00BC6FDC" w:rsidRDefault="00BC6FDC">
            <w:pPr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</w:p>
          <w:p w14:paraId="25ABE02B" w14:textId="4BE1659B" w:rsidR="00BC6FDC" w:rsidRPr="003C5391" w:rsidRDefault="00BC6FDC">
            <w:pPr>
              <w:rPr>
                <w:b/>
                <w:bCs/>
              </w:rPr>
            </w:pPr>
          </w:p>
        </w:tc>
        <w:tc>
          <w:tcPr>
            <w:tcW w:w="1408" w:type="dxa"/>
            <w:shd w:val="clear" w:color="auto" w:fill="8EAADB" w:themeFill="accent1" w:themeFillTint="99"/>
          </w:tcPr>
          <w:p w14:paraId="7811CCDB" w14:textId="2FF9EAD9" w:rsidR="00BC6FDC" w:rsidRDefault="00BC6FDC">
            <w:pPr>
              <w:rPr>
                <w:b/>
                <w:bCs/>
              </w:rPr>
            </w:pPr>
            <w:r>
              <w:rPr>
                <w:b/>
                <w:bCs/>
              </w:rPr>
              <w:t>MAWB Lead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1E827030" w14:textId="6E273741" w:rsidR="00BC6FDC" w:rsidRDefault="00BC6FDC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71FC2" w14:paraId="5CD1974C" w14:textId="4765EB6C" w:rsidTr="00571FC2">
        <w:trPr>
          <w:trHeight w:val="1628"/>
        </w:trPr>
        <w:tc>
          <w:tcPr>
            <w:tcW w:w="2504" w:type="dxa"/>
            <w:shd w:val="clear" w:color="auto" w:fill="DEEAF6" w:themeFill="accent5" w:themeFillTint="33"/>
          </w:tcPr>
          <w:p w14:paraId="4CDD2F60" w14:textId="7B8884FA" w:rsidR="00BC6FDC" w:rsidRDefault="00BC6FDC">
            <w:r>
              <w:t>Legislative Training: Past, Present, and Influencing the Future</w:t>
            </w:r>
          </w:p>
        </w:tc>
        <w:tc>
          <w:tcPr>
            <w:tcW w:w="4156" w:type="dxa"/>
            <w:shd w:val="clear" w:color="auto" w:fill="DEEAF6" w:themeFill="accent5" w:themeFillTint="33"/>
          </w:tcPr>
          <w:p w14:paraId="5C6F43CD" w14:textId="22F0A66B" w:rsidR="00BC6FDC" w:rsidRDefault="00BC6FDC">
            <w:r>
              <w:t>WIOA overview, how federal legislation filters to the local level, understanding policy and funding (include time for networking, breakout out by job function), use updated MAWB Orientation Manual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3388E5B7" w14:textId="38DC6B74" w:rsidR="00BC6FDC" w:rsidRDefault="00BC6FDC">
            <w:r>
              <w:t>All staff, particularly newer staff</w:t>
            </w:r>
          </w:p>
        </w:tc>
        <w:tc>
          <w:tcPr>
            <w:tcW w:w="1928" w:type="dxa"/>
            <w:shd w:val="clear" w:color="auto" w:fill="DEEAF6" w:themeFill="accent5" w:themeFillTint="33"/>
          </w:tcPr>
          <w:p w14:paraId="0C394329" w14:textId="77777777" w:rsidR="00BC6FDC" w:rsidRDefault="00BC6FDC">
            <w:r>
              <w:t xml:space="preserve">Workforce SMEs—Trainer </w:t>
            </w:r>
          </w:p>
          <w:p w14:paraId="25E179F2" w14:textId="7FED15FD" w:rsidR="00BC6FDC" w:rsidRDefault="00BC6FDC">
            <w:r>
              <w:t>NAWB, NSC, previous director panel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560FF1EF" w14:textId="2BF4A8A7" w:rsidR="00BC6FDC" w:rsidRDefault="00BC6FDC">
            <w:r>
              <w:t>Fall/early Winter 2020</w:t>
            </w:r>
          </w:p>
        </w:tc>
        <w:tc>
          <w:tcPr>
            <w:tcW w:w="1171" w:type="dxa"/>
            <w:shd w:val="clear" w:color="auto" w:fill="DEEAF6" w:themeFill="accent5" w:themeFillTint="33"/>
          </w:tcPr>
          <w:p w14:paraId="3CC1406E" w14:textId="4275831C" w:rsidR="00BC6FDC" w:rsidRDefault="00BC6FDC">
            <w:r>
              <w:t>High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6348858F" w14:textId="622AC7B3" w:rsidR="00BC6FDC" w:rsidRDefault="00BC6FDC">
            <w:r>
              <w:t xml:space="preserve">In-person with remote participation optional </w:t>
            </w:r>
          </w:p>
        </w:tc>
        <w:tc>
          <w:tcPr>
            <w:tcW w:w="1408" w:type="dxa"/>
            <w:shd w:val="clear" w:color="auto" w:fill="DEEAF6" w:themeFill="accent5" w:themeFillTint="33"/>
          </w:tcPr>
          <w:p w14:paraId="61BE2DCD" w14:textId="171ED498" w:rsidR="00BC6FDC" w:rsidRDefault="00BC6FDC">
            <w:r>
              <w:t>Vicki/Anne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2C055F29" w14:textId="73FF1310" w:rsidR="00BC6FDC" w:rsidRDefault="002F6D08">
            <w:r>
              <w:t xml:space="preserve">Anne volunteered to update manual </w:t>
            </w:r>
          </w:p>
        </w:tc>
      </w:tr>
      <w:tr w:rsidR="00571FC2" w14:paraId="43B6140E" w14:textId="0EC6D3D8" w:rsidTr="00571FC2">
        <w:trPr>
          <w:trHeight w:val="1448"/>
        </w:trPr>
        <w:tc>
          <w:tcPr>
            <w:tcW w:w="2504" w:type="dxa"/>
            <w:shd w:val="clear" w:color="auto" w:fill="EDEDED" w:themeFill="accent3" w:themeFillTint="33"/>
          </w:tcPr>
          <w:p w14:paraId="6FA6288E" w14:textId="65D26ED2" w:rsidR="00BC6FDC" w:rsidRDefault="00BC6FDC">
            <w:r w:rsidRPr="003C5391">
              <w:t xml:space="preserve">WF1 </w:t>
            </w:r>
            <w:r>
              <w:t>F</w:t>
            </w:r>
            <w:r w:rsidRPr="003C5391">
              <w:t xml:space="preserve">unding </w:t>
            </w:r>
            <w:r>
              <w:t>S</w:t>
            </w:r>
            <w:r w:rsidRPr="003C5391">
              <w:t xml:space="preserve">treams </w:t>
            </w:r>
          </w:p>
        </w:tc>
        <w:tc>
          <w:tcPr>
            <w:tcW w:w="4156" w:type="dxa"/>
            <w:shd w:val="clear" w:color="auto" w:fill="EDEDED" w:themeFill="accent3" w:themeFillTint="33"/>
          </w:tcPr>
          <w:p w14:paraId="546EC9A5" w14:textId="25A5F060" w:rsidR="00BC6FDC" w:rsidRDefault="00BC6FDC">
            <w:r>
              <w:t>W</w:t>
            </w:r>
            <w:r w:rsidRPr="003C5391">
              <w:t>hat they need to be tied to and how they need to be entered into WF1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393A94BC" w14:textId="72BA20E0" w:rsidR="00BC6FDC" w:rsidRDefault="00BC6FDC">
            <w:r>
              <w:t>Local area staff/partners</w:t>
            </w:r>
          </w:p>
        </w:tc>
        <w:tc>
          <w:tcPr>
            <w:tcW w:w="1928" w:type="dxa"/>
            <w:shd w:val="clear" w:color="auto" w:fill="EDEDED" w:themeFill="accent3" w:themeFillTint="33"/>
          </w:tcPr>
          <w:p w14:paraId="1768C951" w14:textId="3B73A2CA" w:rsidR="00BC6FDC" w:rsidRDefault="00BC6FDC">
            <w:r>
              <w:t>DEED—Annie T., ETP Staff</w:t>
            </w:r>
          </w:p>
        </w:tc>
        <w:tc>
          <w:tcPr>
            <w:tcW w:w="1933" w:type="dxa"/>
            <w:shd w:val="clear" w:color="auto" w:fill="EDEDED" w:themeFill="accent3" w:themeFillTint="33"/>
          </w:tcPr>
          <w:p w14:paraId="29FFD3D0" w14:textId="77023F32" w:rsidR="00BC6FDC" w:rsidRDefault="00BC6FDC">
            <w:r>
              <w:t>Spring 2020</w:t>
            </w:r>
          </w:p>
        </w:tc>
        <w:tc>
          <w:tcPr>
            <w:tcW w:w="1171" w:type="dxa"/>
            <w:shd w:val="clear" w:color="auto" w:fill="EDEDED" w:themeFill="accent3" w:themeFillTint="33"/>
          </w:tcPr>
          <w:p w14:paraId="566D8C8E" w14:textId="461BB8FB" w:rsidR="00BC6FDC" w:rsidRDefault="00BC6FDC">
            <w:r>
              <w:t>High</w:t>
            </w:r>
          </w:p>
        </w:tc>
        <w:tc>
          <w:tcPr>
            <w:tcW w:w="2213" w:type="dxa"/>
            <w:shd w:val="clear" w:color="auto" w:fill="EDEDED" w:themeFill="accent3" w:themeFillTint="33"/>
          </w:tcPr>
          <w:p w14:paraId="4991A94B" w14:textId="46C57C2D" w:rsidR="00BC6FDC" w:rsidRDefault="00BC6FDC">
            <w:r>
              <w:t>In-person with remote participation optional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2ACCC61B" w14:textId="54FDBE88" w:rsidR="00BC6FDC" w:rsidRDefault="00BC6FDC">
            <w:r>
              <w:t>Deb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7CB9CE4C" w14:textId="3C09B30E" w:rsidR="00BC6FDC" w:rsidRDefault="004E19D2" w:rsidP="004E19D2">
            <w:pPr>
              <w:tabs>
                <w:tab w:val="left" w:pos="2397"/>
              </w:tabs>
              <w:ind w:right="66"/>
            </w:pPr>
            <w:r>
              <w:t xml:space="preserve">This topic is unclear given the uncertainty around the policy. </w:t>
            </w:r>
          </w:p>
        </w:tc>
      </w:tr>
      <w:tr w:rsidR="00571FC2" w14:paraId="49109920" w14:textId="51B9120F" w:rsidTr="00571FC2">
        <w:trPr>
          <w:trHeight w:val="1439"/>
        </w:trPr>
        <w:tc>
          <w:tcPr>
            <w:tcW w:w="2504" w:type="dxa"/>
            <w:shd w:val="clear" w:color="auto" w:fill="DEEAF6" w:themeFill="accent5" w:themeFillTint="33"/>
          </w:tcPr>
          <w:p w14:paraId="3B2C2937" w14:textId="6BBC0F33" w:rsidR="00BC6FDC" w:rsidRDefault="00BC6FDC">
            <w:r w:rsidRPr="003C5391">
              <w:t xml:space="preserve">Performance Measures </w:t>
            </w:r>
          </w:p>
        </w:tc>
        <w:tc>
          <w:tcPr>
            <w:tcW w:w="4156" w:type="dxa"/>
            <w:shd w:val="clear" w:color="auto" w:fill="DEEAF6" w:themeFill="accent5" w:themeFillTint="33"/>
          </w:tcPr>
          <w:p w14:paraId="2835EB70" w14:textId="011475DB" w:rsidR="00BC6FDC" w:rsidRDefault="00BC6FDC">
            <w:r>
              <w:t>C</w:t>
            </w:r>
            <w:r w:rsidRPr="003C5391">
              <w:t>lear explanation of how/why current goals are determined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3795F3F7" w14:textId="682A0744" w:rsidR="00BC6FDC" w:rsidRDefault="00BC6FDC">
            <w:r>
              <w:t>All staff/partners</w:t>
            </w:r>
          </w:p>
        </w:tc>
        <w:tc>
          <w:tcPr>
            <w:tcW w:w="1928" w:type="dxa"/>
            <w:shd w:val="clear" w:color="auto" w:fill="DEEAF6" w:themeFill="accent5" w:themeFillTint="33"/>
          </w:tcPr>
          <w:p w14:paraId="0EBD2120" w14:textId="24113389" w:rsidR="00BC6FDC" w:rsidRDefault="00BC6FDC">
            <w:r>
              <w:t>ETA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08AC8CAA" w14:textId="0D91BA06" w:rsidR="00BC6FDC" w:rsidRDefault="00BC6FDC">
            <w:r>
              <w:t>Spring/Summer 2020</w:t>
            </w:r>
          </w:p>
        </w:tc>
        <w:tc>
          <w:tcPr>
            <w:tcW w:w="1171" w:type="dxa"/>
            <w:shd w:val="clear" w:color="auto" w:fill="DEEAF6" w:themeFill="accent5" w:themeFillTint="33"/>
          </w:tcPr>
          <w:p w14:paraId="5E9D0689" w14:textId="576FB374" w:rsidR="00BC6FDC" w:rsidRDefault="00BC6FDC">
            <w:r>
              <w:t>High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6835427E" w14:textId="2139998D" w:rsidR="00BC6FDC" w:rsidRDefault="00BC6FDC">
            <w:r>
              <w:t>In-person with remote participation optional</w:t>
            </w:r>
          </w:p>
        </w:tc>
        <w:tc>
          <w:tcPr>
            <w:tcW w:w="1408" w:type="dxa"/>
            <w:shd w:val="clear" w:color="auto" w:fill="DEEAF6" w:themeFill="accent5" w:themeFillTint="33"/>
          </w:tcPr>
          <w:p w14:paraId="7339D020" w14:textId="7DB6193E" w:rsidR="00BC6FDC" w:rsidRDefault="00BC6FDC">
            <w:r>
              <w:t>Jinny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43F6B831" w14:textId="47116A1C" w:rsidR="00BC6FDC" w:rsidRDefault="00554708">
            <w:r>
              <w:t>ETA did two performance webinars this spring—does this meet the need?</w:t>
            </w:r>
          </w:p>
        </w:tc>
      </w:tr>
      <w:tr w:rsidR="00571FC2" w14:paraId="7B63E26F" w14:textId="7FB9A49D" w:rsidTr="00571FC2">
        <w:trPr>
          <w:trHeight w:val="1403"/>
        </w:trPr>
        <w:tc>
          <w:tcPr>
            <w:tcW w:w="2504" w:type="dxa"/>
            <w:shd w:val="clear" w:color="auto" w:fill="EDEDED" w:themeFill="accent3" w:themeFillTint="33"/>
          </w:tcPr>
          <w:p w14:paraId="1CCF34EC" w14:textId="668314F8" w:rsidR="00BC6FDC" w:rsidRDefault="00BC6FDC" w:rsidP="003C5391">
            <w:r>
              <w:t>Fiscal staff training</w:t>
            </w:r>
          </w:p>
        </w:tc>
        <w:tc>
          <w:tcPr>
            <w:tcW w:w="4156" w:type="dxa"/>
            <w:shd w:val="clear" w:color="auto" w:fill="EDEDED" w:themeFill="accent3" w:themeFillTint="33"/>
          </w:tcPr>
          <w:p w14:paraId="542E0279" w14:textId="7C8AFE0C" w:rsidR="00BC6FDC" w:rsidRDefault="00BC6FDC">
            <w:r>
              <w:t xml:space="preserve">Fiscal policies for grantees 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0421B367" w14:textId="2259CCF6" w:rsidR="00BC6FDC" w:rsidRDefault="00BC6FDC">
            <w:r>
              <w:t>Local area directors, fiscal staff</w:t>
            </w:r>
          </w:p>
        </w:tc>
        <w:tc>
          <w:tcPr>
            <w:tcW w:w="1928" w:type="dxa"/>
            <w:shd w:val="clear" w:color="auto" w:fill="EDEDED" w:themeFill="accent3" w:themeFillTint="33"/>
          </w:tcPr>
          <w:p w14:paraId="1BEC28EC" w14:textId="6E352824" w:rsidR="00BC6FDC" w:rsidRDefault="00BC6FDC">
            <w:r>
              <w:t xml:space="preserve">DEED, Experienced local fiscal staff </w:t>
            </w:r>
          </w:p>
        </w:tc>
        <w:tc>
          <w:tcPr>
            <w:tcW w:w="1933" w:type="dxa"/>
            <w:shd w:val="clear" w:color="auto" w:fill="EDEDED" w:themeFill="accent3" w:themeFillTint="33"/>
          </w:tcPr>
          <w:p w14:paraId="4DEAA98B" w14:textId="5A41B5CD" w:rsidR="00BC6FDC" w:rsidRDefault="00BC6FDC">
            <w:r>
              <w:t>Spring/Summer 2020</w:t>
            </w:r>
          </w:p>
        </w:tc>
        <w:tc>
          <w:tcPr>
            <w:tcW w:w="1171" w:type="dxa"/>
            <w:shd w:val="clear" w:color="auto" w:fill="EDEDED" w:themeFill="accent3" w:themeFillTint="33"/>
          </w:tcPr>
          <w:p w14:paraId="3E772219" w14:textId="2038BA1A" w:rsidR="00BC6FDC" w:rsidRDefault="00BC6FDC">
            <w:r>
              <w:t>High</w:t>
            </w:r>
          </w:p>
        </w:tc>
        <w:tc>
          <w:tcPr>
            <w:tcW w:w="2213" w:type="dxa"/>
            <w:shd w:val="clear" w:color="auto" w:fill="EDEDED" w:themeFill="accent3" w:themeFillTint="33"/>
          </w:tcPr>
          <w:p w14:paraId="108470D8" w14:textId="206D2E62" w:rsidR="00BC6FDC" w:rsidRDefault="00BC6FDC">
            <w:r>
              <w:t>Webinar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6738F9B2" w14:textId="280B7B32" w:rsidR="00BC6FDC" w:rsidRDefault="00BC6FDC">
            <w:r>
              <w:t>Deb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0FED1C11" w14:textId="5B81E968" w:rsidR="00BC6FDC" w:rsidRDefault="00BC6FDC">
            <w:r>
              <w:t>Mpls is leading one, ask DEED to participate and plan for DEED training</w:t>
            </w:r>
          </w:p>
        </w:tc>
      </w:tr>
      <w:tr w:rsidR="00571FC2" w14:paraId="226DD97F" w14:textId="3331B1CE" w:rsidTr="00571FC2">
        <w:tc>
          <w:tcPr>
            <w:tcW w:w="2504" w:type="dxa"/>
            <w:shd w:val="clear" w:color="auto" w:fill="DEEAF6" w:themeFill="accent5" w:themeFillTint="33"/>
          </w:tcPr>
          <w:p w14:paraId="41F2B5DC" w14:textId="4F8DB12F" w:rsidR="00BC6FDC" w:rsidRDefault="00BC6FDC">
            <w:r w:rsidRPr="00BA4342">
              <w:t>Incumbent worker training and OJT</w:t>
            </w:r>
            <w:r>
              <w:t>s</w:t>
            </w:r>
          </w:p>
        </w:tc>
        <w:tc>
          <w:tcPr>
            <w:tcW w:w="4156" w:type="dxa"/>
            <w:shd w:val="clear" w:color="auto" w:fill="DEEAF6" w:themeFill="accent5" w:themeFillTint="33"/>
          </w:tcPr>
          <w:p w14:paraId="25C0029C" w14:textId="77777777" w:rsidR="00BC6FDC" w:rsidRDefault="00BC6FDC">
            <w:r>
              <w:t>Best practices in areas that are doing this well, how to engage employers in this work, relevant policies and procedures</w:t>
            </w:r>
          </w:p>
          <w:p w14:paraId="17378461" w14:textId="3D84ABCF" w:rsidR="00BC6FDC" w:rsidRDefault="00BC6FDC"/>
        </w:tc>
        <w:tc>
          <w:tcPr>
            <w:tcW w:w="1826" w:type="dxa"/>
            <w:shd w:val="clear" w:color="auto" w:fill="DEEAF6" w:themeFill="accent5" w:themeFillTint="33"/>
          </w:tcPr>
          <w:p w14:paraId="47DE2D58" w14:textId="25738A4B" w:rsidR="00BC6FDC" w:rsidRDefault="00BC6FDC">
            <w:r>
              <w:t>Local area directors, staff</w:t>
            </w:r>
          </w:p>
        </w:tc>
        <w:tc>
          <w:tcPr>
            <w:tcW w:w="1928" w:type="dxa"/>
            <w:shd w:val="clear" w:color="auto" w:fill="DEEAF6" w:themeFill="accent5" w:themeFillTint="33"/>
          </w:tcPr>
          <w:p w14:paraId="317E53F9" w14:textId="56C4CA26" w:rsidR="00BC6FDC" w:rsidRDefault="00BC6FDC">
            <w:r>
              <w:t>Need input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56684A7A" w14:textId="553B1AE3" w:rsidR="00BC6FDC" w:rsidRDefault="00BC6FDC">
            <w:r>
              <w:t>Late summer/early fall</w:t>
            </w:r>
          </w:p>
        </w:tc>
        <w:tc>
          <w:tcPr>
            <w:tcW w:w="1171" w:type="dxa"/>
            <w:shd w:val="clear" w:color="auto" w:fill="DEEAF6" w:themeFill="accent5" w:themeFillTint="33"/>
          </w:tcPr>
          <w:p w14:paraId="79FE0E0C" w14:textId="3B916363" w:rsidR="00BC6FDC" w:rsidRDefault="00BC6FDC">
            <w:r>
              <w:t>Medium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7A016FBD" w14:textId="230FBADC" w:rsidR="00BC6FDC" w:rsidRDefault="00BC6FDC">
            <w:r>
              <w:t>Sharing at MAWB Committees</w:t>
            </w:r>
          </w:p>
        </w:tc>
        <w:tc>
          <w:tcPr>
            <w:tcW w:w="1408" w:type="dxa"/>
            <w:shd w:val="clear" w:color="auto" w:fill="DEEAF6" w:themeFill="accent5" w:themeFillTint="33"/>
          </w:tcPr>
          <w:p w14:paraId="3B65D937" w14:textId="1ADE53D9" w:rsidR="00BC6FDC" w:rsidRDefault="00BC6FDC"/>
        </w:tc>
        <w:tc>
          <w:tcPr>
            <w:tcW w:w="2295" w:type="dxa"/>
            <w:shd w:val="clear" w:color="auto" w:fill="DEEAF6" w:themeFill="accent5" w:themeFillTint="33"/>
          </w:tcPr>
          <w:p w14:paraId="147EF7F7" w14:textId="77777777" w:rsidR="00BC6FDC" w:rsidRDefault="00BC6FDC"/>
        </w:tc>
      </w:tr>
      <w:tr w:rsidR="00571FC2" w14:paraId="76E38670" w14:textId="67212ADF" w:rsidTr="00571FC2">
        <w:trPr>
          <w:trHeight w:val="1043"/>
        </w:trPr>
        <w:tc>
          <w:tcPr>
            <w:tcW w:w="2504" w:type="dxa"/>
            <w:shd w:val="clear" w:color="auto" w:fill="EDEDED" w:themeFill="accent3" w:themeFillTint="33"/>
          </w:tcPr>
          <w:p w14:paraId="4820D0CF" w14:textId="77777777" w:rsidR="00BC6FDC" w:rsidRPr="00BA4342" w:rsidRDefault="00BC6FDC" w:rsidP="00314AA5">
            <w:pPr>
              <w:rPr>
                <w:rFonts w:cstheme="minorHAnsi"/>
                <w:color w:val="000000" w:themeColor="text1"/>
              </w:rPr>
            </w:pPr>
            <w:r w:rsidRPr="00BA4342">
              <w:rPr>
                <w:rFonts w:cstheme="minorHAnsi"/>
                <w:color w:val="000000" w:themeColor="text1"/>
              </w:rPr>
              <w:t>Best practices in youth work experience</w:t>
            </w:r>
          </w:p>
          <w:p w14:paraId="6B3DAFC8" w14:textId="105280B8" w:rsidR="00BC6FDC" w:rsidRDefault="00BC6FDC" w:rsidP="00314AA5"/>
        </w:tc>
        <w:tc>
          <w:tcPr>
            <w:tcW w:w="4156" w:type="dxa"/>
            <w:shd w:val="clear" w:color="auto" w:fill="EDEDED" w:themeFill="accent3" w:themeFillTint="33"/>
          </w:tcPr>
          <w:p w14:paraId="388D72E9" w14:textId="747539F3" w:rsidR="00BC6FDC" w:rsidRDefault="00BC6FDC" w:rsidP="00314AA5">
            <w:r>
              <w:t xml:space="preserve">Share best practices on youth work experiences </w:t>
            </w:r>
            <w:r w:rsidRPr="00D17BDB">
              <w:t>(engaging employers, ensuring success?) overview</w:t>
            </w:r>
            <w:r>
              <w:t xml:space="preserve"> of policies and procedures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257E13D0" w14:textId="44D17470" w:rsidR="00BC6FDC" w:rsidRDefault="00BC6FDC" w:rsidP="00314AA5">
            <w:r>
              <w:t>Local area directors, youth staff</w:t>
            </w:r>
          </w:p>
        </w:tc>
        <w:tc>
          <w:tcPr>
            <w:tcW w:w="1928" w:type="dxa"/>
            <w:shd w:val="clear" w:color="auto" w:fill="EDEDED" w:themeFill="accent3" w:themeFillTint="33"/>
          </w:tcPr>
          <w:p w14:paraId="70CACAC2" w14:textId="5705DAF1" w:rsidR="00BC6FDC" w:rsidRDefault="00BC6FDC" w:rsidP="00314AA5">
            <w:r>
              <w:t>DEED Youth Team, local Directors</w:t>
            </w:r>
          </w:p>
        </w:tc>
        <w:tc>
          <w:tcPr>
            <w:tcW w:w="1933" w:type="dxa"/>
            <w:shd w:val="clear" w:color="auto" w:fill="EDEDED" w:themeFill="accent3" w:themeFillTint="33"/>
          </w:tcPr>
          <w:p w14:paraId="2ED15729" w14:textId="09907508" w:rsidR="00BC6FDC" w:rsidRDefault="00BC6FDC" w:rsidP="00314AA5">
            <w:r>
              <w:t>Fall/Winter</w:t>
            </w:r>
          </w:p>
        </w:tc>
        <w:tc>
          <w:tcPr>
            <w:tcW w:w="1171" w:type="dxa"/>
            <w:shd w:val="clear" w:color="auto" w:fill="EDEDED" w:themeFill="accent3" w:themeFillTint="33"/>
          </w:tcPr>
          <w:p w14:paraId="30097BEA" w14:textId="75130796" w:rsidR="00BC6FDC" w:rsidRDefault="00BC6FDC" w:rsidP="00314AA5">
            <w:r>
              <w:t>Medium</w:t>
            </w:r>
          </w:p>
        </w:tc>
        <w:tc>
          <w:tcPr>
            <w:tcW w:w="2213" w:type="dxa"/>
            <w:shd w:val="clear" w:color="auto" w:fill="EDEDED" w:themeFill="accent3" w:themeFillTint="33"/>
          </w:tcPr>
          <w:p w14:paraId="4447F9DD" w14:textId="7616FD4D" w:rsidR="00BC6FDC" w:rsidRDefault="00BC6FDC" w:rsidP="00314AA5">
            <w:r>
              <w:t>Webinar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4B558986" w14:textId="62D14790" w:rsidR="00BC6FDC" w:rsidRDefault="00BC6FDC" w:rsidP="00314AA5">
            <w:r>
              <w:t>Ask directors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7E76977B" w14:textId="77777777" w:rsidR="00BC6FDC" w:rsidRDefault="00BC6FDC" w:rsidP="00314AA5"/>
        </w:tc>
      </w:tr>
      <w:tr w:rsidR="00571FC2" w14:paraId="5C201307" w14:textId="21B3BAE0" w:rsidTr="00571FC2">
        <w:tc>
          <w:tcPr>
            <w:tcW w:w="2504" w:type="dxa"/>
            <w:shd w:val="clear" w:color="auto" w:fill="DEEAF6" w:themeFill="accent5" w:themeFillTint="33"/>
          </w:tcPr>
          <w:p w14:paraId="11A96D01" w14:textId="35CB0C82" w:rsidR="00BC6FDC" w:rsidRDefault="00BC6FDC">
            <w:r>
              <w:t>ETPL</w:t>
            </w:r>
          </w:p>
        </w:tc>
        <w:tc>
          <w:tcPr>
            <w:tcW w:w="4156" w:type="dxa"/>
            <w:shd w:val="clear" w:color="auto" w:fill="DEEAF6" w:themeFill="accent5" w:themeFillTint="33"/>
          </w:tcPr>
          <w:p w14:paraId="6DAD78D4" w14:textId="0508DD2D" w:rsidR="00BC6FDC" w:rsidRPr="00747D3E" w:rsidRDefault="00BC6FDC" w:rsidP="00747D3E">
            <w:pPr>
              <w:rPr>
                <w:rFonts w:eastAsia="Times New Roman"/>
              </w:rPr>
            </w:pPr>
            <w:r w:rsidRPr="00747D3E">
              <w:rPr>
                <w:rFonts w:eastAsia="Times New Roman"/>
              </w:rPr>
              <w:t>ETPL vs. OHE role for Licensing/Registration/Exemption determination</w:t>
            </w:r>
            <w:r>
              <w:rPr>
                <w:rFonts w:eastAsia="Times New Roman"/>
              </w:rPr>
              <w:t xml:space="preserve">. </w:t>
            </w:r>
            <w:r w:rsidRPr="00747D3E">
              <w:rPr>
                <w:rFonts w:eastAsia="Times New Roman"/>
              </w:rPr>
              <w:t>Training Provider process to apply to be on ETPL</w:t>
            </w:r>
            <w:r>
              <w:rPr>
                <w:rFonts w:eastAsia="Times New Roman"/>
              </w:rPr>
              <w:t xml:space="preserve">. </w:t>
            </w:r>
            <w:r w:rsidRPr="00747D3E">
              <w:rPr>
                <w:rFonts w:eastAsia="Times New Roman"/>
              </w:rPr>
              <w:t>Clarification on Licensed, Registered, and Exemption with OHE</w:t>
            </w:r>
            <w:r>
              <w:rPr>
                <w:rFonts w:eastAsia="Times New Roman"/>
              </w:rPr>
              <w:t xml:space="preserve">. </w:t>
            </w:r>
            <w:r w:rsidRPr="00747D3E">
              <w:rPr>
                <w:rFonts w:eastAsia="Times New Roman"/>
              </w:rPr>
              <w:t>Required file documentation for training vendors who are exempt</w:t>
            </w:r>
            <w:r>
              <w:rPr>
                <w:rFonts w:eastAsia="Times New Roman"/>
              </w:rPr>
              <w:t xml:space="preserve">. </w:t>
            </w:r>
            <w:r w:rsidRPr="00747D3E">
              <w:rPr>
                <w:rFonts w:eastAsia="Times New Roman"/>
              </w:rPr>
              <w:t>Program expectations for self-study/self-paced training curriculums</w:t>
            </w:r>
            <w:r>
              <w:rPr>
                <w:rFonts w:eastAsia="Times New Roman"/>
              </w:rPr>
              <w:t xml:space="preserve">. </w:t>
            </w:r>
            <w:r w:rsidRPr="00747D3E">
              <w:rPr>
                <w:rFonts w:eastAsia="Times New Roman"/>
              </w:rPr>
              <w:t>WIOA Certified vs. Non-WIOA Certified on ETPL</w:t>
            </w:r>
            <w:r>
              <w:rPr>
                <w:rFonts w:eastAsia="Times New Roman"/>
              </w:rPr>
              <w:t xml:space="preserve">. </w:t>
            </w:r>
          </w:p>
          <w:p w14:paraId="2BC76BA6" w14:textId="4DA19F4A" w:rsidR="00BC6FDC" w:rsidRDefault="00BC6FDC"/>
        </w:tc>
        <w:tc>
          <w:tcPr>
            <w:tcW w:w="1826" w:type="dxa"/>
            <w:shd w:val="clear" w:color="auto" w:fill="DEEAF6" w:themeFill="accent5" w:themeFillTint="33"/>
          </w:tcPr>
          <w:p w14:paraId="1C798032" w14:textId="587C0D1D" w:rsidR="00BC6FDC" w:rsidRDefault="00BC6FDC">
            <w:r>
              <w:t>Local area staff</w:t>
            </w:r>
          </w:p>
        </w:tc>
        <w:tc>
          <w:tcPr>
            <w:tcW w:w="1928" w:type="dxa"/>
            <w:shd w:val="clear" w:color="auto" w:fill="DEEAF6" w:themeFill="accent5" w:themeFillTint="33"/>
          </w:tcPr>
          <w:p w14:paraId="7C37BD2D" w14:textId="7408A236" w:rsidR="00BC6FDC" w:rsidRDefault="00BC6FDC">
            <w:r>
              <w:t>DEED, Office of High Ed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01615E57" w14:textId="6FAEB5B9" w:rsidR="00BC6FDC" w:rsidRDefault="00BC6FDC" w:rsidP="00BF6968">
            <w:pPr>
              <w:tabs>
                <w:tab w:val="center" w:pos="837"/>
              </w:tabs>
            </w:pPr>
            <w:r>
              <w:t>Summer/Fall 2020</w:t>
            </w:r>
          </w:p>
        </w:tc>
        <w:tc>
          <w:tcPr>
            <w:tcW w:w="1171" w:type="dxa"/>
            <w:shd w:val="clear" w:color="auto" w:fill="DEEAF6" w:themeFill="accent5" w:themeFillTint="33"/>
          </w:tcPr>
          <w:p w14:paraId="0F6CCDCE" w14:textId="4C51A765" w:rsidR="00BC6FDC" w:rsidRDefault="00BC6FDC">
            <w:r>
              <w:t>Medium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52BE63E0" w14:textId="0B8373B1" w:rsidR="00BC6FDC" w:rsidRDefault="00BC6FDC">
            <w:r>
              <w:t>Webinar</w:t>
            </w:r>
          </w:p>
        </w:tc>
        <w:tc>
          <w:tcPr>
            <w:tcW w:w="1408" w:type="dxa"/>
            <w:shd w:val="clear" w:color="auto" w:fill="DEEAF6" w:themeFill="accent5" w:themeFillTint="33"/>
          </w:tcPr>
          <w:p w14:paraId="5FC3C3F0" w14:textId="6E67AF19" w:rsidR="00BC6FDC" w:rsidRDefault="00BC6FDC"/>
        </w:tc>
        <w:tc>
          <w:tcPr>
            <w:tcW w:w="2295" w:type="dxa"/>
            <w:shd w:val="clear" w:color="auto" w:fill="DEEAF6" w:themeFill="accent5" w:themeFillTint="33"/>
          </w:tcPr>
          <w:p w14:paraId="0714E098" w14:textId="77777777" w:rsidR="00BC6FDC" w:rsidRDefault="00BC6FDC"/>
        </w:tc>
      </w:tr>
      <w:tr w:rsidR="00571FC2" w14:paraId="234453C7" w14:textId="3BDE7838" w:rsidTr="00571FC2">
        <w:tc>
          <w:tcPr>
            <w:tcW w:w="2504" w:type="dxa"/>
            <w:shd w:val="clear" w:color="auto" w:fill="EDEDED" w:themeFill="accent3" w:themeFillTint="33"/>
          </w:tcPr>
          <w:p w14:paraId="29E96157" w14:textId="77777777" w:rsidR="00BC6FDC" w:rsidRDefault="00BC6FDC" w:rsidP="00582D94">
            <w:r w:rsidRPr="00BA4342">
              <w:t>DEED policies that also require a local policy</w:t>
            </w:r>
          </w:p>
        </w:tc>
        <w:tc>
          <w:tcPr>
            <w:tcW w:w="4156" w:type="dxa"/>
            <w:shd w:val="clear" w:color="auto" w:fill="EDEDED" w:themeFill="accent3" w:themeFillTint="33"/>
          </w:tcPr>
          <w:p w14:paraId="7948198C" w14:textId="77777777" w:rsidR="00BC6FDC" w:rsidRDefault="00BC6FDC" w:rsidP="00582D94">
            <w:r>
              <w:t>Ensure clarity on what DEED policies require local area policy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5E0912FB" w14:textId="77777777" w:rsidR="00BC6FDC" w:rsidRDefault="00BC6FDC" w:rsidP="00582D94">
            <w:r>
              <w:t>Local boards</w:t>
            </w:r>
          </w:p>
        </w:tc>
        <w:tc>
          <w:tcPr>
            <w:tcW w:w="1928" w:type="dxa"/>
            <w:shd w:val="clear" w:color="auto" w:fill="EDEDED" w:themeFill="accent3" w:themeFillTint="33"/>
          </w:tcPr>
          <w:p w14:paraId="1D2A2298" w14:textId="77777777" w:rsidR="00BC6FDC" w:rsidRDefault="00BC6FDC" w:rsidP="00582D94">
            <w:r>
              <w:t>DEED</w:t>
            </w:r>
          </w:p>
        </w:tc>
        <w:tc>
          <w:tcPr>
            <w:tcW w:w="1933" w:type="dxa"/>
            <w:shd w:val="clear" w:color="auto" w:fill="EDEDED" w:themeFill="accent3" w:themeFillTint="33"/>
          </w:tcPr>
          <w:p w14:paraId="747DDAE9" w14:textId="451E577D" w:rsidR="00BC6FDC" w:rsidRDefault="00BC6FDC" w:rsidP="00582D94"/>
        </w:tc>
        <w:tc>
          <w:tcPr>
            <w:tcW w:w="1171" w:type="dxa"/>
            <w:shd w:val="clear" w:color="auto" w:fill="EDEDED" w:themeFill="accent3" w:themeFillTint="33"/>
          </w:tcPr>
          <w:p w14:paraId="1B44179B" w14:textId="6C29092D" w:rsidR="00BC6FDC" w:rsidRDefault="00BC6FDC" w:rsidP="00582D94">
            <w:r>
              <w:t>Low</w:t>
            </w:r>
          </w:p>
        </w:tc>
        <w:tc>
          <w:tcPr>
            <w:tcW w:w="2213" w:type="dxa"/>
            <w:shd w:val="clear" w:color="auto" w:fill="EDEDED" w:themeFill="accent3" w:themeFillTint="33"/>
          </w:tcPr>
          <w:p w14:paraId="1E4A4BA2" w14:textId="77777777" w:rsidR="00BC6FDC" w:rsidRDefault="00BC6FDC" w:rsidP="00582D94">
            <w:r>
              <w:t xml:space="preserve">Written guidance provided 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74858C25" w14:textId="77777777" w:rsidR="00BC6FDC" w:rsidRDefault="00BC6FDC" w:rsidP="00582D94"/>
        </w:tc>
        <w:tc>
          <w:tcPr>
            <w:tcW w:w="2295" w:type="dxa"/>
            <w:shd w:val="clear" w:color="auto" w:fill="EDEDED" w:themeFill="accent3" w:themeFillTint="33"/>
          </w:tcPr>
          <w:p w14:paraId="60B6CAA4" w14:textId="77777777" w:rsidR="00BC6FDC" w:rsidRDefault="00BC6FDC" w:rsidP="00582D94"/>
        </w:tc>
      </w:tr>
      <w:tr w:rsidR="00571FC2" w14:paraId="1DD8BD44" w14:textId="51E8E34B" w:rsidTr="00571FC2">
        <w:tc>
          <w:tcPr>
            <w:tcW w:w="2504" w:type="dxa"/>
            <w:shd w:val="clear" w:color="auto" w:fill="DEEAF6" w:themeFill="accent5" w:themeFillTint="33"/>
          </w:tcPr>
          <w:p w14:paraId="2C9C0AC8" w14:textId="77777777" w:rsidR="00BC6FDC" w:rsidRPr="00BA4342" w:rsidRDefault="00BC6FDC" w:rsidP="00314AA5">
            <w:pPr>
              <w:rPr>
                <w:rFonts w:cstheme="minorHAnsi"/>
                <w:color w:val="000000" w:themeColor="text1"/>
              </w:rPr>
            </w:pPr>
            <w:r w:rsidRPr="00BA4342">
              <w:rPr>
                <w:rFonts w:cstheme="minorHAnsi"/>
                <w:color w:val="000000" w:themeColor="text1"/>
              </w:rPr>
              <w:t>MFIP employment services best practices</w:t>
            </w:r>
          </w:p>
          <w:p w14:paraId="6A30A6FB" w14:textId="77777777" w:rsidR="00BC6FDC" w:rsidRPr="00BA4342" w:rsidRDefault="00BC6FDC" w:rsidP="00314AA5">
            <w:pPr>
              <w:rPr>
                <w:rFonts w:cstheme="minorHAnsi"/>
              </w:rPr>
            </w:pPr>
          </w:p>
        </w:tc>
        <w:tc>
          <w:tcPr>
            <w:tcW w:w="4156" w:type="dxa"/>
            <w:shd w:val="clear" w:color="auto" w:fill="DEEAF6" w:themeFill="accent5" w:themeFillTint="33"/>
          </w:tcPr>
          <w:p w14:paraId="6782E5D7" w14:textId="3B2A8992" w:rsidR="00BC6FDC" w:rsidRDefault="00BC6FDC" w:rsidP="00314AA5">
            <w:r>
              <w:t>Share best practices and innovative ideas used by MFIP Employment Services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23B85035" w14:textId="77777777" w:rsidR="00BC6FDC" w:rsidRDefault="00BC6FDC" w:rsidP="00314AA5"/>
        </w:tc>
        <w:tc>
          <w:tcPr>
            <w:tcW w:w="1928" w:type="dxa"/>
            <w:shd w:val="clear" w:color="auto" w:fill="DEEAF6" w:themeFill="accent5" w:themeFillTint="33"/>
          </w:tcPr>
          <w:p w14:paraId="70E9D8B1" w14:textId="672D034F" w:rsidR="00BC6FDC" w:rsidRDefault="00BC6FDC" w:rsidP="00314AA5">
            <w:r>
              <w:t>MFIP staff</w:t>
            </w:r>
          </w:p>
        </w:tc>
        <w:tc>
          <w:tcPr>
            <w:tcW w:w="1933" w:type="dxa"/>
            <w:shd w:val="clear" w:color="auto" w:fill="DEEAF6" w:themeFill="accent5" w:themeFillTint="33"/>
          </w:tcPr>
          <w:p w14:paraId="562AFD87" w14:textId="77777777" w:rsidR="00BC6FDC" w:rsidRDefault="00BC6FDC" w:rsidP="00314AA5"/>
        </w:tc>
        <w:tc>
          <w:tcPr>
            <w:tcW w:w="1171" w:type="dxa"/>
            <w:shd w:val="clear" w:color="auto" w:fill="DEEAF6" w:themeFill="accent5" w:themeFillTint="33"/>
          </w:tcPr>
          <w:p w14:paraId="4A4D0E5E" w14:textId="302CAE9C" w:rsidR="00BC6FDC" w:rsidRDefault="00BC6FDC" w:rsidP="00314AA5">
            <w:r>
              <w:t>Low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092CFC53" w14:textId="421FC506" w:rsidR="00BC6FDC" w:rsidRDefault="00BC6FDC" w:rsidP="00314AA5">
            <w:r>
              <w:t>Sharing at MAWB Committees</w:t>
            </w:r>
          </w:p>
        </w:tc>
        <w:tc>
          <w:tcPr>
            <w:tcW w:w="1408" w:type="dxa"/>
            <w:shd w:val="clear" w:color="auto" w:fill="DEEAF6" w:themeFill="accent5" w:themeFillTint="33"/>
          </w:tcPr>
          <w:p w14:paraId="395686BA" w14:textId="77777777" w:rsidR="00BC6FDC" w:rsidRDefault="00BC6FDC" w:rsidP="00314AA5"/>
        </w:tc>
        <w:tc>
          <w:tcPr>
            <w:tcW w:w="2295" w:type="dxa"/>
            <w:shd w:val="clear" w:color="auto" w:fill="DEEAF6" w:themeFill="accent5" w:themeFillTint="33"/>
          </w:tcPr>
          <w:p w14:paraId="6E64853E" w14:textId="77777777" w:rsidR="00BC6FDC" w:rsidRDefault="00BC6FDC" w:rsidP="00314AA5"/>
        </w:tc>
      </w:tr>
      <w:tr w:rsidR="00571FC2" w14:paraId="525FA0FF" w14:textId="2C1A3A1B" w:rsidTr="00571FC2">
        <w:tc>
          <w:tcPr>
            <w:tcW w:w="2504" w:type="dxa"/>
            <w:shd w:val="clear" w:color="auto" w:fill="EDEDED" w:themeFill="accent3" w:themeFillTint="33"/>
          </w:tcPr>
          <w:p w14:paraId="69220B1A" w14:textId="4DB852AE" w:rsidR="00BC6FDC" w:rsidRPr="00BA4342" w:rsidRDefault="00BC6FDC" w:rsidP="00314AA5">
            <w:r>
              <w:t>Case-Manager Training</w:t>
            </w:r>
          </w:p>
        </w:tc>
        <w:tc>
          <w:tcPr>
            <w:tcW w:w="4156" w:type="dxa"/>
            <w:shd w:val="clear" w:color="auto" w:fill="EDEDED" w:themeFill="accent3" w:themeFillTint="33"/>
          </w:tcPr>
          <w:p w14:paraId="5A10C301" w14:textId="7D27FBDA" w:rsidR="00BC6FDC" w:rsidRDefault="00BC6FDC" w:rsidP="00314AA5">
            <w:r>
              <w:t xml:space="preserve">MAWB is interested in revisiting the Case Manager training that was historically sponsored by DEED and DHS in previous years. This could be looked at from a WIOA alignment perspective 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5015E00B" w14:textId="6A5A86DA" w:rsidR="00BC6FDC" w:rsidRDefault="00BC6FDC" w:rsidP="00314AA5">
            <w:r>
              <w:t>All Case management staff</w:t>
            </w:r>
          </w:p>
        </w:tc>
        <w:tc>
          <w:tcPr>
            <w:tcW w:w="1928" w:type="dxa"/>
            <w:shd w:val="clear" w:color="auto" w:fill="EDEDED" w:themeFill="accent3" w:themeFillTint="33"/>
          </w:tcPr>
          <w:p w14:paraId="7240E84D" w14:textId="48C18484" w:rsidR="00BC6FDC" w:rsidRDefault="00BC6FDC" w:rsidP="00314AA5">
            <w:r>
              <w:t>Case management SMEs</w:t>
            </w:r>
          </w:p>
        </w:tc>
        <w:tc>
          <w:tcPr>
            <w:tcW w:w="1933" w:type="dxa"/>
            <w:shd w:val="clear" w:color="auto" w:fill="EDEDED" w:themeFill="accent3" w:themeFillTint="33"/>
          </w:tcPr>
          <w:p w14:paraId="3F1CB7CD" w14:textId="233B8D1A" w:rsidR="00BC6FDC" w:rsidRDefault="00BC6FDC" w:rsidP="00314AA5">
            <w:r>
              <w:t>2021</w:t>
            </w:r>
          </w:p>
        </w:tc>
        <w:tc>
          <w:tcPr>
            <w:tcW w:w="1171" w:type="dxa"/>
            <w:shd w:val="clear" w:color="auto" w:fill="EDEDED" w:themeFill="accent3" w:themeFillTint="33"/>
          </w:tcPr>
          <w:p w14:paraId="4BC4079E" w14:textId="7CA3E24C" w:rsidR="00BC6FDC" w:rsidRDefault="00BC6FDC" w:rsidP="00314AA5">
            <w:r>
              <w:t xml:space="preserve">Medium—While it is a high priority for MAWB we realize this a heavier lift </w:t>
            </w:r>
          </w:p>
        </w:tc>
        <w:tc>
          <w:tcPr>
            <w:tcW w:w="2213" w:type="dxa"/>
            <w:shd w:val="clear" w:color="auto" w:fill="EDEDED" w:themeFill="accent3" w:themeFillTint="33"/>
          </w:tcPr>
          <w:p w14:paraId="3A651190" w14:textId="3AB7C2F8" w:rsidR="00BC6FDC" w:rsidRDefault="00BC6FDC" w:rsidP="00314AA5">
            <w:r>
              <w:t xml:space="preserve">In-person training 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614CBA92" w14:textId="77777777" w:rsidR="00BC6FDC" w:rsidRDefault="00BC6FDC" w:rsidP="00314AA5"/>
        </w:tc>
        <w:tc>
          <w:tcPr>
            <w:tcW w:w="2295" w:type="dxa"/>
            <w:shd w:val="clear" w:color="auto" w:fill="EDEDED" w:themeFill="accent3" w:themeFillTint="33"/>
          </w:tcPr>
          <w:p w14:paraId="0533E31F" w14:textId="77777777" w:rsidR="00BC6FDC" w:rsidRDefault="00BC6FDC" w:rsidP="00314AA5"/>
        </w:tc>
      </w:tr>
      <w:tr w:rsidR="00571FC2" w14:paraId="03804B04" w14:textId="67CEEA48" w:rsidTr="00571FC2">
        <w:tc>
          <w:tcPr>
            <w:tcW w:w="2504" w:type="dxa"/>
            <w:shd w:val="clear" w:color="auto" w:fill="DEEAF6" w:themeFill="accent5" w:themeFillTint="33"/>
          </w:tcPr>
          <w:p w14:paraId="120404E0" w14:textId="66A88CAB" w:rsidR="00BC6FDC" w:rsidRDefault="00BC6FDC" w:rsidP="00314AA5">
            <w:r w:rsidRPr="0097757B">
              <w:rPr>
                <w:b/>
                <w:bCs/>
              </w:rPr>
              <w:t>Additional Topics:</w:t>
            </w:r>
            <w:r>
              <w:t xml:space="preserve"> Would like to check with DEED monitors on topics they feel training/TA is needed on. </w:t>
            </w:r>
          </w:p>
        </w:tc>
        <w:tc>
          <w:tcPr>
            <w:tcW w:w="4156" w:type="dxa"/>
            <w:shd w:val="clear" w:color="auto" w:fill="DEEAF6" w:themeFill="accent5" w:themeFillTint="33"/>
          </w:tcPr>
          <w:p w14:paraId="3F3BB4CE" w14:textId="77777777" w:rsidR="00BC6FDC" w:rsidRDefault="00BC6FDC" w:rsidP="00314AA5"/>
        </w:tc>
        <w:tc>
          <w:tcPr>
            <w:tcW w:w="1826" w:type="dxa"/>
            <w:shd w:val="clear" w:color="auto" w:fill="DEEAF6" w:themeFill="accent5" w:themeFillTint="33"/>
          </w:tcPr>
          <w:p w14:paraId="70941BD9" w14:textId="77777777" w:rsidR="00BC6FDC" w:rsidRDefault="00BC6FDC" w:rsidP="00314AA5"/>
        </w:tc>
        <w:tc>
          <w:tcPr>
            <w:tcW w:w="1928" w:type="dxa"/>
            <w:shd w:val="clear" w:color="auto" w:fill="DEEAF6" w:themeFill="accent5" w:themeFillTint="33"/>
          </w:tcPr>
          <w:p w14:paraId="7CFD4BF0" w14:textId="77777777" w:rsidR="00BC6FDC" w:rsidRDefault="00BC6FDC" w:rsidP="00314AA5"/>
        </w:tc>
        <w:tc>
          <w:tcPr>
            <w:tcW w:w="1933" w:type="dxa"/>
            <w:shd w:val="clear" w:color="auto" w:fill="DEEAF6" w:themeFill="accent5" w:themeFillTint="33"/>
          </w:tcPr>
          <w:p w14:paraId="1C573CFC" w14:textId="77777777" w:rsidR="00BC6FDC" w:rsidRDefault="00BC6FDC" w:rsidP="00314AA5"/>
        </w:tc>
        <w:tc>
          <w:tcPr>
            <w:tcW w:w="1171" w:type="dxa"/>
            <w:shd w:val="clear" w:color="auto" w:fill="DEEAF6" w:themeFill="accent5" w:themeFillTint="33"/>
          </w:tcPr>
          <w:p w14:paraId="59CB60B1" w14:textId="77777777" w:rsidR="00BC6FDC" w:rsidRDefault="00BC6FDC" w:rsidP="00314AA5"/>
        </w:tc>
        <w:tc>
          <w:tcPr>
            <w:tcW w:w="2213" w:type="dxa"/>
            <w:shd w:val="clear" w:color="auto" w:fill="DEEAF6" w:themeFill="accent5" w:themeFillTint="33"/>
          </w:tcPr>
          <w:p w14:paraId="6A495BA3" w14:textId="77777777" w:rsidR="00BC6FDC" w:rsidRDefault="00BC6FDC" w:rsidP="00314AA5"/>
        </w:tc>
        <w:tc>
          <w:tcPr>
            <w:tcW w:w="1408" w:type="dxa"/>
            <w:shd w:val="clear" w:color="auto" w:fill="DEEAF6" w:themeFill="accent5" w:themeFillTint="33"/>
          </w:tcPr>
          <w:p w14:paraId="1B4D674A" w14:textId="77777777" w:rsidR="00BC6FDC" w:rsidRDefault="00BC6FDC" w:rsidP="00314AA5"/>
        </w:tc>
        <w:tc>
          <w:tcPr>
            <w:tcW w:w="2295" w:type="dxa"/>
            <w:shd w:val="clear" w:color="auto" w:fill="DEEAF6" w:themeFill="accent5" w:themeFillTint="33"/>
          </w:tcPr>
          <w:p w14:paraId="07FEC41F" w14:textId="77777777" w:rsidR="00BC6FDC" w:rsidRDefault="00BC6FDC" w:rsidP="00314AA5"/>
        </w:tc>
      </w:tr>
    </w:tbl>
    <w:p w14:paraId="16C5EDB1" w14:textId="629F6352" w:rsidR="00582D94" w:rsidRDefault="00582D94"/>
    <w:p w14:paraId="17B23CF3" w14:textId="2BD8E8EE" w:rsidR="001F6CB9" w:rsidRDefault="001F6CB9"/>
    <w:p w14:paraId="3B6CC435" w14:textId="50E08AEE" w:rsidR="001F6CB9" w:rsidRDefault="00B71198">
      <w:hyperlink r:id="rId9" w:history="1">
        <w:r w:rsidR="001F6CB9">
          <w:rPr>
            <w:rStyle w:val="Hyperlink"/>
          </w:rPr>
          <w:t>https://www.dynamicinstitute.com/product-category/careercoachingessentials/?product_orderby=name</w:t>
        </w:r>
      </w:hyperlink>
    </w:p>
    <w:p w14:paraId="513EA0C1" w14:textId="6AA9F336" w:rsidR="001F6CB9" w:rsidRDefault="001F6CB9"/>
    <w:p w14:paraId="14E45C6D" w14:textId="77777777" w:rsidR="001F6CB9" w:rsidRDefault="001F6CB9"/>
    <w:sectPr w:rsidR="001F6CB9" w:rsidSect="00F537F3">
      <w:pgSz w:w="20160" w:h="12240" w:orient="landscape" w:code="5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4EB"/>
    <w:multiLevelType w:val="multilevel"/>
    <w:tmpl w:val="432A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44A72"/>
    <w:multiLevelType w:val="hybridMultilevel"/>
    <w:tmpl w:val="73C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91"/>
    <w:rsid w:val="000A2A49"/>
    <w:rsid w:val="000A7D1F"/>
    <w:rsid w:val="00166CE5"/>
    <w:rsid w:val="001F562D"/>
    <w:rsid w:val="001F6CB9"/>
    <w:rsid w:val="00223096"/>
    <w:rsid w:val="00241121"/>
    <w:rsid w:val="002F6D08"/>
    <w:rsid w:val="00314AA5"/>
    <w:rsid w:val="00316869"/>
    <w:rsid w:val="003C5391"/>
    <w:rsid w:val="003E4EEE"/>
    <w:rsid w:val="004264C0"/>
    <w:rsid w:val="004628A5"/>
    <w:rsid w:val="004E19D2"/>
    <w:rsid w:val="004E7CC1"/>
    <w:rsid w:val="00552C5A"/>
    <w:rsid w:val="00554708"/>
    <w:rsid w:val="00571FC2"/>
    <w:rsid w:val="00582D94"/>
    <w:rsid w:val="00611DE3"/>
    <w:rsid w:val="00613011"/>
    <w:rsid w:val="00621E49"/>
    <w:rsid w:val="00747D3E"/>
    <w:rsid w:val="007C0215"/>
    <w:rsid w:val="00867AC8"/>
    <w:rsid w:val="009029FB"/>
    <w:rsid w:val="0097757B"/>
    <w:rsid w:val="00986226"/>
    <w:rsid w:val="009C53F1"/>
    <w:rsid w:val="009F28C8"/>
    <w:rsid w:val="00A202CF"/>
    <w:rsid w:val="00AD65A3"/>
    <w:rsid w:val="00AF65FF"/>
    <w:rsid w:val="00B0449E"/>
    <w:rsid w:val="00B16D62"/>
    <w:rsid w:val="00BA4342"/>
    <w:rsid w:val="00BC6FDC"/>
    <w:rsid w:val="00BE10BC"/>
    <w:rsid w:val="00BF6968"/>
    <w:rsid w:val="00C21C2A"/>
    <w:rsid w:val="00D1341D"/>
    <w:rsid w:val="00D17BDB"/>
    <w:rsid w:val="00D249E7"/>
    <w:rsid w:val="00DA165F"/>
    <w:rsid w:val="00E133EB"/>
    <w:rsid w:val="00E27F39"/>
    <w:rsid w:val="00F537F3"/>
    <w:rsid w:val="00F863CE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9871"/>
  <w15:chartTrackingRefBased/>
  <w15:docId w15:val="{DC71AEF2-3A38-49C5-8A54-EFADCEC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34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ynamicinstitute.com/product-category/careercoachingessentials/?product_orderby=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FE76FF08B64C859498C1B8D6087D" ma:contentTypeVersion="13" ma:contentTypeDescription="Create a new document." ma:contentTypeScope="" ma:versionID="544dcdab51b355f3b740df529ea4b47b">
  <xsd:schema xmlns:xsd="http://www.w3.org/2001/XMLSchema" xmlns:xs="http://www.w3.org/2001/XMLSchema" xmlns:p="http://schemas.microsoft.com/office/2006/metadata/properties" xmlns:ns3="e77b2be5-e2bc-4133-a6b6-a52e45f78e2e" xmlns:ns4="007f15fd-6182-48cc-8af6-91ca74d59db1" targetNamespace="http://schemas.microsoft.com/office/2006/metadata/properties" ma:root="true" ma:fieldsID="fe521d886ed799e3fa25e4d47637a7ee" ns3:_="" ns4:_="">
    <xsd:import namespace="e77b2be5-e2bc-4133-a6b6-a52e45f78e2e"/>
    <xsd:import namespace="007f15fd-6182-48cc-8af6-91ca74d59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2be5-e2bc-4133-a6b6-a52e45f78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15fd-6182-48cc-8af6-91ca74d59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707DB-40D3-4CA2-B244-179904F6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2be5-e2bc-4133-a6b6-a52e45f78e2e"/>
    <ds:schemaRef ds:uri="007f15fd-6182-48cc-8af6-91ca74d59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1F5A7-61F5-43D6-AD26-96D25D0B4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1B4B1-6586-4622-8B27-4BB18DA4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Fortney, Jeanna</dc:creator>
  <cp:keywords/>
  <dc:description/>
  <cp:lastModifiedBy>Fortney, Jeanna</cp:lastModifiedBy>
  <cp:revision>9</cp:revision>
  <dcterms:created xsi:type="dcterms:W3CDTF">2020-06-15T18:05:00Z</dcterms:created>
  <dcterms:modified xsi:type="dcterms:W3CDTF">2020-06-15T18:17:00Z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0x0101000B10FE76FF08B64C859498C1B8D6087D</vt:lpwstr>
  </property>
</Properties>
</file>